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2201158</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פ/2459/25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סדר הדין הפלילי (תיקון – התיישנות בעבירות מין שנעשו במסגרת יחסי תלות או מרות), התשפ"ג–2023</w:t>
      </w:r>
      <w:bookmarkEnd w:id="7"/>
    </w:p>
    <w:p w14:paraId="7F6961AE" w14:textId="77777777" w:rsidR="00E13C27" w:rsidRDefault="00E13C27" w:rsidP="0021633A">
      <w:pPr>
        <w:pStyle w:val="HeadDivreiHesber"/>
        <w:spacing w:before="0" w:after="0"/>
        <w:rPr>
          <w:rtl/>
        </w:rPr>
      </w:pP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1740B9" w:rsidRPr="00F35DFD" w14:paraId="6037657F" w14:textId="77777777" w:rsidTr="00DE1B90">
        <w:trPr>
          <w:cantSplit/>
        </w:trPr>
        <w:tc>
          <w:tcPr>
            <w:tcW w:w="1871" w:type="dxa"/>
            <w:hideMark/>
          </w:tcPr>
          <w:p w14:paraId="774C1184" w14:textId="77777777" w:rsidR="001740B9" w:rsidRPr="006F20E2" w:rsidRDefault="001740B9" w:rsidP="00DE1B90">
            <w:pPr>
              <w:pStyle w:val="TableSideHeading"/>
            </w:pPr>
            <w:r w:rsidRPr="006F20E2">
              <w:rPr>
                <w:rtl/>
              </w:rPr>
              <w:t xml:space="preserve">תיקון סעיף 9 </w:t>
            </w:r>
          </w:p>
        </w:tc>
        <w:tc>
          <w:tcPr>
            <w:tcW w:w="624" w:type="dxa"/>
            <w:hideMark/>
          </w:tcPr>
          <w:p w14:paraId="3C48FA67" w14:textId="77777777" w:rsidR="001740B9" w:rsidRPr="006F20E2" w:rsidRDefault="001740B9" w:rsidP="00DE1B90">
            <w:pPr>
              <w:pStyle w:val="TableText"/>
              <w:jc w:val="both"/>
            </w:pPr>
            <w:r w:rsidRPr="006F20E2">
              <w:rPr>
                <w:rtl/>
              </w:rPr>
              <w:t>1.</w:t>
            </w:r>
          </w:p>
        </w:tc>
        <w:tc>
          <w:tcPr>
            <w:tcW w:w="7143" w:type="dxa"/>
            <w:hideMark/>
          </w:tcPr>
          <w:p w14:paraId="56BB0839" w14:textId="77777777" w:rsidR="001740B9" w:rsidRPr="006F20E2" w:rsidRDefault="001740B9" w:rsidP="00DE1B90">
            <w:pPr>
              <w:pStyle w:val="TableBlock"/>
              <w:rPr>
                <w:rtl/>
              </w:rPr>
            </w:pPr>
            <w:r w:rsidRPr="006F20E2">
              <w:rPr>
                <w:rtl/>
              </w:rPr>
              <w:t>בחוק סדר הדין הפלילי [נוסח משולב], התשמ"ב–1982</w:t>
            </w:r>
            <w:r w:rsidRPr="00F71A06">
              <w:rPr>
                <w:rFonts w:ascii="David" w:hAnsi="David"/>
                <w:sz w:val="26"/>
                <w:vertAlign w:val="superscript"/>
                <w:rtl/>
              </w:rPr>
              <w:footnoteReference w:id="2"/>
            </w:r>
            <w:r w:rsidRPr="006F20E2">
              <w:rPr>
                <w:rtl/>
              </w:rPr>
              <w:t xml:space="preserve"> (להלן – החוק העיקרי), בסעיף 9, אחרי סעיף קטן (ב1) יבוא:</w:t>
            </w:r>
          </w:p>
        </w:tc>
      </w:tr>
      <w:tr w:rsidR="001740B9" w:rsidRPr="00F35DFD" w14:paraId="03FE46F3" w14:textId="77777777" w:rsidTr="00DE1B90">
        <w:trPr>
          <w:cantSplit/>
        </w:trPr>
        <w:tc>
          <w:tcPr>
            <w:tcW w:w="1871" w:type="dxa"/>
          </w:tcPr>
          <w:p w14:paraId="483D9D77" w14:textId="77777777" w:rsidR="001740B9" w:rsidRPr="006F20E2" w:rsidRDefault="001740B9" w:rsidP="00DE1B90">
            <w:pPr>
              <w:pStyle w:val="TableSideHeading"/>
              <w:rPr>
                <w:rtl/>
              </w:rPr>
            </w:pPr>
          </w:p>
        </w:tc>
        <w:tc>
          <w:tcPr>
            <w:tcW w:w="624" w:type="dxa"/>
          </w:tcPr>
          <w:p w14:paraId="7ECEC062" w14:textId="77777777" w:rsidR="001740B9" w:rsidRPr="006F20E2" w:rsidRDefault="001740B9" w:rsidP="00DE1B90">
            <w:pPr>
              <w:pStyle w:val="TableText"/>
              <w:jc w:val="both"/>
              <w:rPr>
                <w:rtl/>
              </w:rPr>
            </w:pPr>
          </w:p>
        </w:tc>
        <w:tc>
          <w:tcPr>
            <w:tcW w:w="7143" w:type="dxa"/>
            <w:hideMark/>
          </w:tcPr>
          <w:p w14:paraId="5CB76DDB" w14:textId="77777777" w:rsidR="001740B9" w:rsidRPr="006F20E2" w:rsidRDefault="001740B9" w:rsidP="00DE1B90">
            <w:pPr>
              <w:pStyle w:val="TableBlock"/>
              <w:rPr>
                <w:rtl/>
              </w:rPr>
            </w:pPr>
            <w:r w:rsidRPr="006F20E2">
              <w:rPr>
                <w:rtl/>
              </w:rPr>
              <w:t>"(ב2)</w:t>
            </w:r>
            <w:r w:rsidRPr="006F20E2">
              <w:rPr>
                <w:rtl/>
              </w:rPr>
              <w:tab/>
              <w:t>בעבירה לפי סעיף 345 לחוק העונשין, התשל"ז–1977</w:t>
            </w:r>
            <w:r w:rsidRPr="00F71A06">
              <w:rPr>
                <w:rFonts w:ascii="David" w:hAnsi="David"/>
                <w:sz w:val="26"/>
                <w:vertAlign w:val="superscript"/>
                <w:rtl/>
              </w:rPr>
              <w:footnoteReference w:id="3"/>
            </w:r>
            <w:r w:rsidRPr="006F20E2">
              <w:rPr>
                <w:rtl/>
              </w:rPr>
              <w:t xml:space="preserve"> (להלן – חוק העונשין), בעבירות מין שבוצעו תוך ניצול יחסי תלות או מרות לפי סעיפים 346, 347, 347א, 348, 349 ו-351 לחוק העונשין ובעבירה לפי סעיף 5 לחוק למניעת הטרדה מינית, התשנ"ח–1998</w:t>
            </w:r>
            <w:r w:rsidRPr="00F71A06">
              <w:rPr>
                <w:rFonts w:ascii="David" w:hAnsi="David"/>
                <w:sz w:val="26"/>
                <w:vertAlign w:val="superscript"/>
                <w:rtl/>
              </w:rPr>
              <w:footnoteReference w:id="4"/>
            </w:r>
            <w:r w:rsidRPr="006F20E2">
              <w:rPr>
                <w:rtl/>
              </w:rPr>
              <w:t xml:space="preserve"> (להלן – חוק למניעת הטרדה מינית), כאשר העבירה נעברה בנסיבות המנויות בסעיף 3(א)(6) לחוק למניעת הטרדה מינית – יחל מניין ההתיישנות בתום יחסי התלות או המרות."</w:t>
            </w:r>
          </w:p>
        </w:tc>
      </w:tr>
      <w:tr w:rsidR="001740B9" w:rsidRPr="00F35DFD" w14:paraId="618BCA84" w14:textId="77777777" w:rsidTr="00DE1B90">
        <w:trPr>
          <w:cantSplit/>
        </w:trPr>
        <w:tc>
          <w:tcPr>
            <w:tcW w:w="1871" w:type="dxa"/>
            <w:hideMark/>
          </w:tcPr>
          <w:p w14:paraId="4CF48A54" w14:textId="77777777" w:rsidR="001740B9" w:rsidRPr="006F20E2" w:rsidRDefault="001740B9" w:rsidP="00DE1B90">
            <w:pPr>
              <w:pStyle w:val="TableSideHeading"/>
              <w:rPr>
                <w:rtl/>
              </w:rPr>
            </w:pPr>
            <w:r w:rsidRPr="006F20E2">
              <w:rPr>
                <w:rtl/>
              </w:rPr>
              <w:t>תחולה</w:t>
            </w:r>
          </w:p>
        </w:tc>
        <w:tc>
          <w:tcPr>
            <w:tcW w:w="624" w:type="dxa"/>
            <w:hideMark/>
          </w:tcPr>
          <w:p w14:paraId="5C6B9F3E" w14:textId="77777777" w:rsidR="001740B9" w:rsidRPr="006F20E2" w:rsidRDefault="001740B9" w:rsidP="00DE1B90">
            <w:pPr>
              <w:pStyle w:val="TableText"/>
              <w:jc w:val="both"/>
              <w:rPr>
                <w:rtl/>
              </w:rPr>
            </w:pPr>
            <w:r w:rsidRPr="006F20E2">
              <w:rPr>
                <w:rtl/>
              </w:rPr>
              <w:t>2.</w:t>
            </w:r>
          </w:p>
        </w:tc>
        <w:tc>
          <w:tcPr>
            <w:tcW w:w="7143" w:type="dxa"/>
            <w:hideMark/>
          </w:tcPr>
          <w:p w14:paraId="27C8E87D" w14:textId="77777777" w:rsidR="001740B9" w:rsidRPr="006F20E2" w:rsidRDefault="001740B9" w:rsidP="00DE1B90">
            <w:pPr>
              <w:pStyle w:val="TableBlock"/>
              <w:rPr>
                <w:rtl/>
              </w:rPr>
            </w:pPr>
            <w:r w:rsidRPr="006F20E2">
              <w:rPr>
                <w:rtl/>
              </w:rPr>
              <w:t xml:space="preserve">הוראות סעיף 9(ב2) לחוק העיקרי, כנוסחו בסעיף 1 לחוק זה, יחולו גם על עבירות כאמור באותם סעיפים שביום תחילתו של חוק זה התיישנו, ובלבד שנתקיימו כל אלה: </w:t>
            </w:r>
          </w:p>
        </w:tc>
      </w:tr>
      <w:tr w:rsidR="001740B9" w:rsidRPr="00F35DFD" w14:paraId="58765DB3" w14:textId="77777777" w:rsidTr="00DE1B90">
        <w:trPr>
          <w:cantSplit/>
        </w:trPr>
        <w:tc>
          <w:tcPr>
            <w:tcW w:w="1871" w:type="dxa"/>
          </w:tcPr>
          <w:p w14:paraId="4AE51241" w14:textId="77777777" w:rsidR="001740B9" w:rsidRPr="006F20E2" w:rsidRDefault="001740B9" w:rsidP="00DE1B90">
            <w:pPr>
              <w:pStyle w:val="TableSideHeading"/>
              <w:rPr>
                <w:rtl/>
              </w:rPr>
            </w:pPr>
          </w:p>
        </w:tc>
        <w:tc>
          <w:tcPr>
            <w:tcW w:w="624" w:type="dxa"/>
          </w:tcPr>
          <w:p w14:paraId="50FA1B75" w14:textId="77777777" w:rsidR="001740B9" w:rsidRPr="006F20E2" w:rsidRDefault="001740B9" w:rsidP="00DE1B90">
            <w:pPr>
              <w:pStyle w:val="TableText"/>
              <w:jc w:val="both"/>
              <w:rPr>
                <w:rtl/>
              </w:rPr>
            </w:pPr>
          </w:p>
        </w:tc>
        <w:tc>
          <w:tcPr>
            <w:tcW w:w="7143" w:type="dxa"/>
            <w:hideMark/>
          </w:tcPr>
          <w:p w14:paraId="25FC3B29" w14:textId="77777777" w:rsidR="001740B9" w:rsidRPr="006F20E2" w:rsidRDefault="001740B9" w:rsidP="00DE1B90">
            <w:pPr>
              <w:pStyle w:val="TableBlock"/>
            </w:pPr>
            <w:r w:rsidRPr="006F20E2">
              <w:rPr>
                <w:rtl/>
              </w:rPr>
              <w:t>(1)</w:t>
            </w:r>
            <w:r w:rsidRPr="006F20E2">
              <w:rPr>
                <w:rtl/>
              </w:rPr>
              <w:tab/>
              <w:t>המעשה היה עבירה בעת עשייתו;</w:t>
            </w:r>
          </w:p>
        </w:tc>
      </w:tr>
      <w:tr w:rsidR="001740B9" w:rsidRPr="00F35DFD" w14:paraId="2A368038" w14:textId="77777777" w:rsidTr="00DE1B90">
        <w:trPr>
          <w:cantSplit/>
        </w:trPr>
        <w:tc>
          <w:tcPr>
            <w:tcW w:w="1871" w:type="dxa"/>
          </w:tcPr>
          <w:p w14:paraId="4FF572A5" w14:textId="77777777" w:rsidR="001740B9" w:rsidRPr="006F20E2" w:rsidRDefault="001740B9" w:rsidP="00DE1B90">
            <w:pPr>
              <w:pStyle w:val="TableSideHeading"/>
            </w:pPr>
          </w:p>
        </w:tc>
        <w:tc>
          <w:tcPr>
            <w:tcW w:w="624" w:type="dxa"/>
          </w:tcPr>
          <w:p w14:paraId="163BFCE2" w14:textId="77777777" w:rsidR="001740B9" w:rsidRPr="006F20E2" w:rsidRDefault="001740B9" w:rsidP="00DE1B90">
            <w:pPr>
              <w:pStyle w:val="TableText"/>
              <w:jc w:val="both"/>
            </w:pPr>
          </w:p>
        </w:tc>
        <w:tc>
          <w:tcPr>
            <w:tcW w:w="7143" w:type="dxa"/>
            <w:hideMark/>
          </w:tcPr>
          <w:p w14:paraId="166134E2" w14:textId="77777777" w:rsidR="001740B9" w:rsidRPr="006F20E2" w:rsidRDefault="001740B9" w:rsidP="00DE1B90">
            <w:pPr>
              <w:pStyle w:val="TableBlock"/>
            </w:pPr>
            <w:r w:rsidRPr="006F20E2">
              <w:rPr>
                <w:rtl/>
              </w:rPr>
              <w:t>(2)</w:t>
            </w:r>
            <w:r w:rsidRPr="006F20E2">
              <w:rPr>
                <w:rtl/>
              </w:rPr>
              <w:tab/>
              <w:t>אילו נעשה המעשה לאחר היום האמור, היה מהווה עבירה לפי הסעיפים האמורים.</w:t>
            </w:r>
          </w:p>
        </w:tc>
      </w:tr>
    </w:tbl>
    <w:p w14:paraId="7F6961CA" w14:textId="77777777" w:rsidR="002D1EE3" w:rsidRDefault="002D1EE3" w:rsidP="002D1EE3">
      <w:pPr>
        <w:pStyle w:val="HeadDivreiHesber"/>
        <w:rPr>
          <w:rtl/>
        </w:rPr>
      </w:pPr>
      <w:r w:rsidRPr="0027450A">
        <w:rPr>
          <w:rFonts w:hint="cs"/>
          <w:rtl/>
        </w:rPr>
        <w:t>דברי הסבר</w:t>
      </w:r>
    </w:p>
    <w:p w14:paraId="29F6FAB8" w14:textId="77777777" w:rsidR="001740B9" w:rsidRPr="00591F52" w:rsidRDefault="001740B9" w:rsidP="001740B9">
      <w:pPr>
        <w:pStyle w:val="Hesber"/>
      </w:pPr>
      <w:r w:rsidRPr="00591F52">
        <w:rPr>
          <w:rtl/>
        </w:rPr>
        <w:t xml:space="preserve">מחקרים מצביעים על כך שלפגיעה מינית יש השלכות קשות וארוכות טווח. חלק מהבעייתיות של הפגיעה, בייחוד כשהיא נעשית במסגרת יחסי תלות או מרות, הוא הקושי האינהרנטי להתלונן בכלל ובפרט כל עוד מתקיימים יחסי התלות או המרות. </w:t>
      </w:r>
    </w:p>
    <w:p w14:paraId="02FD2F1A" w14:textId="77777777" w:rsidR="001740B9" w:rsidRPr="00591F52" w:rsidRDefault="001740B9" w:rsidP="001740B9">
      <w:pPr>
        <w:pStyle w:val="Hesber"/>
      </w:pPr>
      <w:r w:rsidRPr="00591F52">
        <w:rPr>
          <w:rtl/>
        </w:rPr>
        <w:t xml:space="preserve">חוק העונשין, התשל"ז–1977 (להלן – חוק העונשין), מכיר בסייגים להתיישנות עבירות מין שבוצעו </w:t>
      </w:r>
      <w:r w:rsidRPr="00591F52">
        <w:rPr>
          <w:rtl/>
        </w:rPr>
        <w:lastRenderedPageBreak/>
        <w:t>בקטינים על ידי בן משפחה או מבוגר אחראי; סעיף 354(א) לחוק העונשין קובע כי "בעבירות המנויות בסעיף קטן זה, שנעברו בקטין, יחל מנין תקופת ההתיישנות ביום שמלאו לו עשרים ושמונה שנים". זאת, כאשר מדובר על עבירות מין במשפחה או על עבירות שבוצעו בקטין על ידי "אחראי" אף אם אינו בן משפחה. בשנת 2004 תוקן חוק העונשין והוסף סעיף 354(ג) המאריך את ההתיישנות גם בעבירת מין שבוצעה בקטין על ידי אדם בן 15 שנה שאינו בן משפחה או אחראי.</w:t>
      </w:r>
    </w:p>
    <w:p w14:paraId="4604AC25" w14:textId="77777777" w:rsidR="001740B9" w:rsidRPr="00591F52" w:rsidRDefault="001740B9" w:rsidP="001740B9">
      <w:pPr>
        <w:pStyle w:val="Hesber"/>
        <w:rPr>
          <w:rtl/>
        </w:rPr>
      </w:pPr>
      <w:r w:rsidRPr="00591F52">
        <w:rPr>
          <w:rtl/>
        </w:rPr>
        <w:t xml:space="preserve">מוצע להוסיף ולהאריך את ההתיישנות גם כאשר עבירת המין בוצעה במסגרת של יחסי תלות או מרות וזאת גם אם הנפגע הוא בוגר או בוגרת, וכי במקרים אלה יחל מניין ההתיישנות בתום יחסי התלות או המרות. זאת, כדי לתת לנפגעים ולנפגעות סיכוי ואפשרות הוגנים להתלונן נגד הפוגע, בהיותם משוחררים מהתלות בו. </w:t>
      </w:r>
    </w:p>
    <w:p w14:paraId="3C4CEE05" w14:textId="579068E7" w:rsidR="001740B9" w:rsidRDefault="001740B9" w:rsidP="0011585B">
      <w:pPr>
        <w:pStyle w:val="Hesber"/>
        <w:rPr>
          <w:rtl/>
        </w:rPr>
      </w:pPr>
      <w:r w:rsidRPr="00591F52">
        <w:rPr>
          <w:rtl/>
        </w:rPr>
        <w:t>הצעות חוק זהות הונחו על שולחן הכנסת התשע-עשרה ועל שולחן הכנסת העשרים על ידי חברת הכנסת מרב מיכאלי וקבוצת חברי הכנסת (פ/2543/19</w:t>
      </w:r>
      <w:r>
        <w:rPr>
          <w:rFonts w:hint="cs"/>
          <w:rtl/>
        </w:rPr>
        <w:t xml:space="preserve">; </w:t>
      </w:r>
      <w:r w:rsidRPr="00591F52">
        <w:rPr>
          <w:rtl/>
        </w:rPr>
        <w:t>פ/1869/20),</w:t>
      </w:r>
      <w:r>
        <w:rPr>
          <w:rFonts w:hint="cs"/>
          <w:rtl/>
        </w:rPr>
        <w:t xml:space="preserve"> </w:t>
      </w:r>
      <w:r w:rsidRPr="00591F52">
        <w:rPr>
          <w:rtl/>
        </w:rPr>
        <w:t>על שולחן הכנסת העשרים ושלוש על ידי חברת הכנסת מרב מיכאלי (פ/782/23)</w:t>
      </w:r>
      <w:r w:rsidR="00824975">
        <w:rPr>
          <w:rFonts w:hint="cs"/>
          <w:rtl/>
        </w:rPr>
        <w:t xml:space="preserve">, </w:t>
      </w:r>
      <w:r>
        <w:rPr>
          <w:rFonts w:hint="cs"/>
          <w:rtl/>
        </w:rPr>
        <w:t>על שולחן הכנסת העשרים וארבע על ידי חברת הכנסת מרב מיכאלי</w:t>
      </w:r>
      <w:r w:rsidR="0011585B">
        <w:rPr>
          <w:rFonts w:hint="cs"/>
          <w:rtl/>
        </w:rPr>
        <w:t xml:space="preserve"> </w:t>
      </w:r>
      <w:r>
        <w:rPr>
          <w:rFonts w:hint="cs"/>
          <w:rtl/>
        </w:rPr>
        <w:t>(</w:t>
      </w:r>
      <w:r>
        <w:rPr>
          <w:rFonts w:ascii="David" w:hAnsi="David"/>
          <w:sz w:val="26"/>
          <w:rtl/>
        </w:rPr>
        <w:t>פ/1239/24</w:t>
      </w:r>
      <w:r>
        <w:rPr>
          <w:rFonts w:ascii="David" w:hAnsi="David" w:hint="cs"/>
          <w:sz w:val="26"/>
          <w:rtl/>
        </w:rPr>
        <w:t>)</w:t>
      </w:r>
      <w:r w:rsidR="00824975">
        <w:rPr>
          <w:rFonts w:hint="cs"/>
          <w:rtl/>
        </w:rPr>
        <w:t xml:space="preserve"> ועל ידי חברת הכנסת גלית דיסטל אטבריאן (פ/2062/24) ועל שולחן הכנסת העשרים וחמש על ידי חבר הכנסת אליהו רביבו (פ/1036/25).</w:t>
      </w:r>
    </w:p>
    <w:p w14:paraId="692D5340" w14:textId="449A39D0" w:rsidR="00824975" w:rsidRDefault="00824975" w:rsidP="001740B9">
      <w:pPr>
        <w:pStyle w:val="Hesber"/>
        <w:rPr>
          <w:rtl/>
        </w:rPr>
      </w:pPr>
      <w:r>
        <w:rPr>
          <w:rFonts w:hint="cs"/>
          <w:rtl/>
        </w:rPr>
        <w:t xml:space="preserve">הצעת החוק זהה לפ/1239/24 ולפיכך לא נבדקה מחדש על ידי הלשכה המשפטית של הכנסת. </w:t>
      </w:r>
    </w:p>
    <w:p w14:paraId="7F6961CB" w14:textId="77777777" w:rsidR="00E13C27" w:rsidRDefault="00E13C27" w:rsidP="00E13C27">
      <w:pPr>
        <w:pStyle w:val="Hesber"/>
        <w:rPr>
          <w:rtl/>
        </w:rPr>
      </w:pPr>
    </w:p>
    <w:p w14:paraId="5A153ACF" w14:textId="77777777" w:rsidR="0011585B" w:rsidRDefault="0011585B" w:rsidP="00E13C27">
      <w:pPr>
        <w:pStyle w:val="Hesber"/>
        <w:rPr>
          <w:rtl/>
        </w:rPr>
      </w:pPr>
    </w:p>
    <w:p w14:paraId="7B7E0FAE" w14:textId="77777777" w:rsidR="0011585B" w:rsidRDefault="0011585B" w:rsidP="00E13C27">
      <w:pPr>
        <w:pStyle w:val="Hesber"/>
        <w:rPr>
          <w:rtl/>
        </w:rPr>
      </w:pPr>
    </w:p>
    <w:p w14:paraId="2E2C8969" w14:textId="77777777" w:rsidR="0011585B" w:rsidRDefault="0011585B" w:rsidP="00E13C27">
      <w:pPr>
        <w:pStyle w:val="Hesber"/>
        <w:rPr>
          <w:rtl/>
        </w:rPr>
      </w:pPr>
      <w:bookmarkStart w:id="8" w:name="_GoBack"/>
      <w:bookmarkEnd w:id="8"/>
    </w:p>
    <w:p w14:paraId="3DDD31D3" w14:textId="77777777" w:rsidR="006C3DE1" w:rsidRDefault="0011585B">
      <w:pPr>
        <w:spacing w:before="0" w:line="360" w:lineRule="auto"/>
        <w:jc w:val="left"/>
      </w:pPr>
      <w:bookmarkStart w:id="9" w:name="selectedDocDateB"/>
      <w:bookmarkEnd w:id="9"/>
      <w:r>
        <w:rPr>
          <w:rFonts w:ascii="David" w:eastAsia="David" w:hAnsi="David" w:cs="David" w:hint="cs"/>
          <w:sz w:val="26"/>
          <w:szCs w:val="26"/>
          <w:rtl/>
        </w:rPr>
        <w:t>--------------------------------</w:t>
      </w:r>
    </w:p>
    <w:p w14:paraId="69CD3C33" w14:textId="77777777" w:rsidR="006C3DE1" w:rsidRDefault="0011585B">
      <w:pPr>
        <w:spacing w:before="0" w:line="360" w:lineRule="auto"/>
        <w:jc w:val="left"/>
      </w:pPr>
      <w:r>
        <w:rPr>
          <w:rFonts w:ascii="David" w:eastAsia="David" w:hAnsi="David" w:cs="David" w:hint="cs"/>
          <w:sz w:val="26"/>
          <w:szCs w:val="26"/>
          <w:rtl/>
        </w:rPr>
        <w:t>הוגשה ליו"ר הכנסת והסגנים</w:t>
      </w:r>
    </w:p>
    <w:p w14:paraId="018B547C" w14:textId="77777777" w:rsidR="006C3DE1" w:rsidRDefault="0011585B">
      <w:pPr>
        <w:spacing w:before="0" w:line="360" w:lineRule="auto"/>
        <w:jc w:val="left"/>
      </w:pPr>
      <w:r>
        <w:rPr>
          <w:rFonts w:ascii="David" w:eastAsia="David" w:hAnsi="David" w:cs="David" w:hint="cs"/>
          <w:sz w:val="26"/>
          <w:szCs w:val="26"/>
          <w:rtl/>
        </w:rPr>
        <w:t>והונחה על שולחן הכנסת ביום</w:t>
      </w:r>
    </w:p>
    <w:p w14:paraId="5934D85C" w14:textId="77777777" w:rsidR="006C3DE1" w:rsidRDefault="0011585B">
      <w:pPr>
        <w:spacing w:before="0" w:line="360" w:lineRule="auto"/>
        <w:jc w:val="left"/>
      </w:pPr>
      <w:r>
        <w:rPr>
          <w:rFonts w:ascii="David" w:eastAsia="David" w:hAnsi="David" w:cs="David" w:hint="cs"/>
          <w:sz w:val="26"/>
          <w:szCs w:val="26"/>
          <w:rtl/>
        </w:rPr>
        <w:t xml:space="preserve">כ"ט בשבט התשפ"ג (20.02.2023) </w:t>
      </w:r>
    </w:p>
    <w:p w14:paraId="265FA22C" w14:textId="77777777" w:rsidR="006C3DE1" w:rsidRDefault="006C3DE1">
      <w:pPr>
        <w:spacing w:before="0" w:line="276" w:lineRule="auto"/>
        <w:jc w:val="left"/>
      </w:pPr>
    </w:p>
    <w:sectPr w:rsidR="006C3DE1"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11585B">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07E1AE14" w14:textId="77777777" w:rsidR="001740B9" w:rsidRDefault="001740B9" w:rsidP="001740B9">
      <w:pPr>
        <w:pStyle w:val="a4"/>
      </w:pPr>
      <w:r>
        <w:rPr>
          <w:rStyle w:val="a6"/>
        </w:rPr>
        <w:footnoteRef/>
      </w:r>
      <w:r>
        <w:rPr>
          <w:rtl/>
        </w:rPr>
        <w:t xml:space="preserve"> ס"ח התשמ"ב, עמ' 43.</w:t>
      </w:r>
    </w:p>
  </w:footnote>
  <w:footnote w:id="3">
    <w:p w14:paraId="77DFDE8C" w14:textId="77777777" w:rsidR="001740B9" w:rsidRDefault="001740B9" w:rsidP="001740B9">
      <w:pPr>
        <w:pStyle w:val="a4"/>
      </w:pPr>
      <w:r>
        <w:rPr>
          <w:rStyle w:val="a6"/>
        </w:rPr>
        <w:footnoteRef/>
      </w:r>
      <w:r>
        <w:rPr>
          <w:rtl/>
        </w:rPr>
        <w:t xml:space="preserve"> ס"ח התשל"ז, עמ' 226. </w:t>
      </w:r>
    </w:p>
  </w:footnote>
  <w:footnote w:id="4">
    <w:p w14:paraId="6269A448" w14:textId="77777777" w:rsidR="001740B9" w:rsidRDefault="001740B9" w:rsidP="001740B9">
      <w:pPr>
        <w:pStyle w:val="a4"/>
      </w:pPr>
      <w:r>
        <w:rPr>
          <w:rStyle w:val="a6"/>
        </w:rPr>
        <w:footnoteRef/>
      </w:r>
      <w:r>
        <w:rPr>
          <w:rtl/>
        </w:rPr>
        <w:t xml:space="preserve"> ס"ח התשנ"ח, עמ' 166.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1585B"/>
    <w:rsid w:val="001207F8"/>
    <w:rsid w:val="00121924"/>
    <w:rsid w:val="001279A8"/>
    <w:rsid w:val="0014195F"/>
    <w:rsid w:val="00152609"/>
    <w:rsid w:val="00153E1B"/>
    <w:rsid w:val="001740B9"/>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6C3DE1"/>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24975"/>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CF256CE8-12F1-489F-8279-1E071423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locked/>
    <w:rsid w:val="001740B9"/>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1FA8EF56-BE46-49F9-9FA5-26786AE1D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purl.org/dc/elements/1.1/"/>
    <ds:schemaRef ds:uri="http://www.w3.org/XML/1998/namespace"/>
    <ds:schemaRef ds:uri="http://schemas.microsoft.com/office/2006/documentManagement/types"/>
    <ds:schemaRef ds:uri="290d5b49-c690-4c6f-bbb9-1e50dab33eee"/>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EA00E265-186C-4015-9BE0-88255A94D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447</Words>
  <Characters>2236</Characters>
  <Application>Microsoft Office Word</Application>
  <DocSecurity>0</DocSecurity>
  <Lines>18</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6</cp:revision>
  <cp:lastPrinted>2023-02-14T11:45:00Z</cp:lastPrinted>
  <dcterms:created xsi:type="dcterms:W3CDTF">2015-04-20T09:58:00Z</dcterms:created>
  <dcterms:modified xsi:type="dcterms:W3CDTF">2023-02-14T11:45:00Z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2201158</vt:r8>
  </property>
</Properties>
</file>